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919F8E3">
      <w:pPr>
        <w:pStyle w:val="2"/>
        <w:spacing w:beforeAutospacing="0" w:afterAutospacing="0" w:line="560" w:lineRule="exact"/>
        <w:rPr>
          <w:rFonts w:hint="default" w:ascii="Times New Roman" w:hAnsi="Times New Roman" w:eastAsia="仿宋_GB2312" w:cs="仿宋_GB2312"/>
          <w:b w:val="0"/>
          <w:bCs w:val="0"/>
          <w:color w:val="000000" w:themeColor="text1"/>
          <w:sz w:val="32"/>
          <w:szCs w:val="32"/>
          <w14:textFill>
            <w14:solidFill>
              <w14:schemeClr w14:val="tx1"/>
            </w14:solidFill>
          </w14:textFill>
        </w:rPr>
      </w:pPr>
      <w:r>
        <w:rPr>
          <w:rFonts w:hint="default" w:ascii="Times New Roman" w:hAnsi="Times New Roman" w:eastAsia="仿宋_GB2312" w:cs="仿宋_GB2312"/>
          <w:b w:val="0"/>
          <w:bCs w:val="0"/>
          <w:color w:val="000000" w:themeColor="text1"/>
          <w:sz w:val="32"/>
          <w:szCs w:val="32"/>
          <w14:textFill>
            <w14:solidFill>
              <w14:schemeClr w14:val="tx1"/>
            </w14:solidFill>
          </w14:textFill>
        </w:rPr>
        <w:t>题目</w:t>
      </w:r>
      <w:r>
        <w:rPr>
          <w:rFonts w:ascii="Times New Roman" w:hAnsi="Times New Roman" w:eastAsia="仿宋_GB2312" w:cs="仿宋_GB2312"/>
          <w:b w:val="0"/>
          <w:bCs w:val="0"/>
          <w:color w:val="000000" w:themeColor="text1"/>
          <w:sz w:val="32"/>
          <w:szCs w:val="32"/>
          <w14:textFill>
            <w14:solidFill>
              <w14:schemeClr w14:val="tx1"/>
            </w14:solidFill>
          </w14:textFill>
        </w:rPr>
        <w:t>56：</w:t>
      </w:r>
    </w:p>
    <w:p w14:paraId="646DF866">
      <w:pPr>
        <w:pStyle w:val="2"/>
        <w:spacing w:beforeAutospacing="0" w:afterAutospacing="0"/>
        <w:jc w:val="center"/>
        <w:rPr>
          <w:rFonts w:hint="default" w:ascii="Times New Roman" w:hAnsi="Times New Roman" w:eastAsia="方正小标宋简体" w:cs="方正小标宋简体"/>
          <w:b w:val="0"/>
          <w:bCs w:val="0"/>
          <w:color w:val="000000" w:themeColor="text1"/>
          <w:sz w:val="44"/>
          <w:szCs w:val="44"/>
          <w14:textFill>
            <w14:solidFill>
              <w14:schemeClr w14:val="tx1"/>
            </w14:solidFill>
          </w14:textFill>
        </w:rPr>
      </w:pPr>
      <w:r>
        <w:rPr>
          <w:rFonts w:ascii="Times New Roman" w:hAnsi="Times New Roman" w:eastAsia="方正小标宋简体" w:cs="方正小标宋简体"/>
          <w:b w:val="0"/>
          <w:bCs w:val="0"/>
          <w:color w:val="000000" w:themeColor="text1"/>
          <w:sz w:val="44"/>
          <w:szCs w:val="44"/>
          <w14:textFill>
            <w14:solidFill>
              <w14:schemeClr w14:val="tx1"/>
            </w14:solidFill>
          </w14:textFill>
        </w:rPr>
        <w:t>“</w:t>
      </w:r>
      <w:r>
        <w:rPr>
          <w:rFonts w:hint="default" w:ascii="Times New Roman" w:hAnsi="Times New Roman" w:eastAsia="方正小标宋简体" w:cs="方正小标宋简体"/>
          <w:b w:val="0"/>
          <w:bCs w:val="0"/>
          <w:color w:val="000000" w:themeColor="text1"/>
          <w:sz w:val="44"/>
          <w:szCs w:val="44"/>
          <w14:textFill>
            <w14:solidFill>
              <w14:schemeClr w14:val="tx1"/>
            </w14:solidFill>
          </w14:textFill>
        </w:rPr>
        <w:t>数字技术的伦理风险与化解路径研究</w:t>
      </w:r>
      <w:r>
        <w:rPr>
          <w:rFonts w:ascii="Times New Roman" w:hAnsi="Times New Roman" w:eastAsia="方正小标宋简体" w:cs="方正小标宋简体"/>
          <w:b w:val="0"/>
          <w:bCs w:val="0"/>
          <w:color w:val="000000" w:themeColor="text1"/>
          <w:sz w:val="44"/>
          <w:szCs w:val="44"/>
          <w14:textFill>
            <w14:solidFill>
              <w14:schemeClr w14:val="tx1"/>
            </w14:solidFill>
          </w14:textFill>
        </w:rPr>
        <w:t>”</w:t>
      </w:r>
    </w:p>
    <w:p w14:paraId="69DF5C62">
      <w:pPr>
        <w:pStyle w:val="2"/>
        <w:spacing w:beforeAutospacing="0" w:afterAutospacing="0"/>
        <w:jc w:val="center"/>
        <w:rPr>
          <w:rFonts w:hint="default" w:ascii="Times New Roman" w:hAnsi="Times New Roman" w:eastAsia="方正小标宋简体" w:cs="方正小标宋简体"/>
          <w:b w:val="0"/>
          <w:bCs w:val="0"/>
          <w:color w:val="000000" w:themeColor="text1"/>
          <w:sz w:val="44"/>
          <w:szCs w:val="44"/>
          <w14:textFill>
            <w14:solidFill>
              <w14:schemeClr w14:val="tx1"/>
            </w14:solidFill>
          </w14:textFill>
        </w:rPr>
      </w:pPr>
      <w:r>
        <w:rPr>
          <w:rFonts w:hint="default" w:ascii="Times New Roman" w:hAnsi="Times New Roman" w:eastAsia="方正小标宋简体" w:cs="方正小标宋简体"/>
          <w:b w:val="0"/>
          <w:bCs w:val="0"/>
          <w:color w:val="000000" w:themeColor="text1"/>
          <w:sz w:val="44"/>
          <w:szCs w:val="44"/>
          <w14:textFill>
            <w14:solidFill>
              <w14:schemeClr w14:val="tx1"/>
            </w14:solidFill>
          </w14:textFill>
        </w:rPr>
        <w:t>比赛方案</w:t>
      </w:r>
    </w:p>
    <w:p w14:paraId="38E81B0E">
      <w:pPr>
        <w:jc w:val="center"/>
        <w:rPr>
          <w:rFonts w:eastAsia="楷体_GB2312" w:cs="楷体_GB2312"/>
          <w:color w:val="000000" w:themeColor="text1"/>
          <w:sz w:val="32"/>
          <w:szCs w:val="32"/>
          <w:lang w:val="en-US"/>
          <w14:textFill>
            <w14:solidFill>
              <w14:schemeClr w14:val="tx1"/>
            </w14:solidFill>
          </w14:textFill>
        </w:rPr>
      </w:pPr>
      <w:r>
        <w:rPr>
          <w:rFonts w:eastAsia="楷体_GB2312" w:cs="楷体_GB2312"/>
          <w:color w:val="000000" w:themeColor="text1"/>
          <w:sz w:val="32"/>
          <w:szCs w:val="32"/>
          <w:lang w:val="en-US"/>
          <w14:textFill>
            <w14:solidFill>
              <w14:schemeClr w14:val="tx1"/>
            </w14:solidFill>
          </w14:textFill>
        </w:rPr>
        <w:t>（中国伦理学会）</w:t>
      </w:r>
    </w:p>
    <w:p w14:paraId="3B62C0CD">
      <w:pPr>
        <w:pStyle w:val="3"/>
        <w:numPr>
          <w:ilvl w:val="0"/>
          <w:numId w:val="0"/>
        </w:numPr>
        <w:spacing w:line="240" w:lineRule="auto"/>
        <w:ind w:firstLine="640" w:firstLineChars="200"/>
        <w:jc w:val="both"/>
        <w:rPr>
          <w:rFonts w:ascii="Times New Roman" w:hAnsi="Times New Roman" w:eastAsia="黑体" w:cs="黑体"/>
          <w:color w:val="000000" w:themeColor="text1"/>
          <w:lang w:val="en-US"/>
          <w14:textFill>
            <w14:solidFill>
              <w14:schemeClr w14:val="tx1"/>
            </w14:solidFill>
          </w14:textFill>
        </w:rPr>
      </w:pPr>
    </w:p>
    <w:p w14:paraId="568B54B5">
      <w:pPr>
        <w:pStyle w:val="3"/>
        <w:numPr>
          <w:ilvl w:val="0"/>
          <w:numId w:val="0"/>
        </w:numPr>
        <w:spacing w:line="240" w:lineRule="auto"/>
        <w:ind w:firstLine="640" w:firstLineChars="200"/>
        <w:jc w:val="both"/>
        <w:rPr>
          <w:rFonts w:ascii="Times New Roman" w:hAnsi="Times New Roman" w:eastAsia="黑体" w:cs="黑体"/>
          <w:color w:val="000000" w:themeColor="text1"/>
          <w:lang w:val="en-US"/>
          <w14:textFill>
            <w14:solidFill>
              <w14:schemeClr w14:val="tx1"/>
            </w14:solidFill>
          </w14:textFill>
        </w:rPr>
      </w:pPr>
      <w:r>
        <w:rPr>
          <w:rFonts w:ascii="Times New Roman" w:hAnsi="Times New Roman" w:eastAsia="黑体" w:cs="黑体"/>
          <w:color w:val="000000" w:themeColor="text1"/>
          <w:lang w:val="en-US"/>
          <w14:textFill>
            <w14:solidFill>
              <w14:schemeClr w14:val="tx1"/>
            </w14:solidFill>
          </w14:textFill>
        </w:rPr>
        <w:t>一、</w:t>
      </w:r>
      <w:r>
        <w:rPr>
          <w:rFonts w:hint="eastAsia" w:ascii="Times New Roman" w:hAnsi="Times New Roman" w:eastAsia="黑体" w:cs="黑体"/>
          <w:color w:val="000000" w:themeColor="text1"/>
          <w:lang w:val="en-US"/>
          <w14:textFill>
            <w14:solidFill>
              <w14:schemeClr w14:val="tx1"/>
            </w14:solidFill>
          </w14:textFill>
        </w:rPr>
        <w:t>出题</w:t>
      </w:r>
      <w:r>
        <w:rPr>
          <w:rFonts w:ascii="Times New Roman" w:hAnsi="Times New Roman" w:eastAsia="黑体" w:cs="黑体"/>
          <w:color w:val="000000" w:themeColor="text1"/>
          <w:lang w:val="en-US"/>
          <w14:textFill>
            <w14:solidFill>
              <w14:schemeClr w14:val="tx1"/>
            </w14:solidFill>
          </w14:textFill>
        </w:rPr>
        <w:t>单位</w:t>
      </w:r>
    </w:p>
    <w:p w14:paraId="3A3D9499">
      <w:pPr>
        <w:spacing w:line="560" w:lineRule="exact"/>
        <w:ind w:firstLine="640" w:firstLineChars="200"/>
        <w:jc w:val="both"/>
        <w:rPr>
          <w:rFonts w:eastAsia="仿宋_GB2312" w:cs="仿宋_GB2312"/>
          <w:color w:val="000000" w:themeColor="text1"/>
          <w:sz w:val="32"/>
          <w:szCs w:val="32"/>
          <w:lang w:val="en-US"/>
          <w14:textFill>
            <w14:solidFill>
              <w14:schemeClr w14:val="tx1"/>
            </w14:solidFill>
          </w14:textFill>
        </w:rPr>
      </w:pPr>
      <w:r>
        <w:rPr>
          <w:rFonts w:hint="eastAsia" w:eastAsia="仿宋_GB2312" w:cs="仿宋_GB2312"/>
          <w:color w:val="000000" w:themeColor="text1"/>
          <w:sz w:val="32"/>
          <w:szCs w:val="32"/>
          <w:lang w:val="en-US"/>
          <w14:textFill>
            <w14:solidFill>
              <w14:schemeClr w14:val="tx1"/>
            </w14:solidFill>
          </w14:textFill>
        </w:rPr>
        <w:t>中国伦理学会</w:t>
      </w:r>
    </w:p>
    <w:p w14:paraId="677A7A2F">
      <w:pPr>
        <w:pStyle w:val="3"/>
        <w:numPr>
          <w:ilvl w:val="0"/>
          <w:numId w:val="0"/>
        </w:numPr>
        <w:spacing w:line="240" w:lineRule="auto"/>
        <w:ind w:firstLine="640" w:firstLineChars="200"/>
        <w:jc w:val="both"/>
        <w:rPr>
          <w:rFonts w:ascii="Times New Roman" w:hAnsi="Times New Roman" w:eastAsia="黑体" w:cs="黑体"/>
          <w:color w:val="000000" w:themeColor="text1"/>
          <w:lang w:val="en-US"/>
          <w14:textFill>
            <w14:solidFill>
              <w14:schemeClr w14:val="tx1"/>
            </w14:solidFill>
          </w14:textFill>
        </w:rPr>
      </w:pPr>
      <w:r>
        <w:rPr>
          <w:rFonts w:ascii="Times New Roman" w:hAnsi="Times New Roman" w:eastAsia="黑体" w:cs="黑体"/>
          <w:color w:val="000000" w:themeColor="text1"/>
          <w:lang w:val="en-US"/>
          <w14:textFill>
            <w14:solidFill>
              <w14:schemeClr w14:val="tx1"/>
            </w14:solidFill>
          </w14:textFill>
        </w:rPr>
        <w:t>二、参赛题目</w:t>
      </w:r>
    </w:p>
    <w:p w14:paraId="60AE5DA6">
      <w:pPr>
        <w:spacing w:line="560" w:lineRule="exact"/>
        <w:ind w:firstLine="640" w:firstLineChars="200"/>
        <w:jc w:val="both"/>
        <w:rPr>
          <w:rFonts w:eastAsia="仿宋_GB2312" w:cs="仿宋_GB2312"/>
          <w:color w:val="000000" w:themeColor="text1"/>
          <w:sz w:val="32"/>
          <w:szCs w:val="32"/>
          <w:lang w:val="en-US"/>
          <w14:textFill>
            <w14:solidFill>
              <w14:schemeClr w14:val="tx1"/>
            </w14:solidFill>
          </w14:textFill>
        </w:rPr>
      </w:pPr>
      <w:r>
        <w:rPr>
          <w:rFonts w:hint="eastAsia" w:eastAsia="仿宋_GB2312" w:cs="仿宋_GB2312"/>
          <w:color w:val="000000" w:themeColor="text1"/>
          <w:sz w:val="32"/>
          <w:szCs w:val="32"/>
          <w:lang w:val="en-US"/>
          <w14:textFill>
            <w14:solidFill>
              <w14:schemeClr w14:val="tx1"/>
            </w14:solidFill>
          </w14:textFill>
        </w:rPr>
        <w:t>数字技术的伦理风险与化解路径研究</w:t>
      </w:r>
    </w:p>
    <w:p w14:paraId="1C4B9DD2">
      <w:pPr>
        <w:pStyle w:val="3"/>
        <w:numPr>
          <w:ilvl w:val="0"/>
          <w:numId w:val="0"/>
        </w:numPr>
        <w:spacing w:line="240" w:lineRule="auto"/>
        <w:ind w:firstLine="640" w:firstLineChars="200"/>
        <w:jc w:val="both"/>
        <w:rPr>
          <w:rFonts w:ascii="Times New Roman" w:hAnsi="Times New Roman" w:eastAsia="黑体" w:cs="黑体"/>
          <w:color w:val="000000" w:themeColor="text1"/>
          <w:lang w:val="en-US"/>
          <w14:textFill>
            <w14:solidFill>
              <w14:schemeClr w14:val="tx1"/>
            </w14:solidFill>
          </w14:textFill>
        </w:rPr>
      </w:pPr>
      <w:r>
        <w:rPr>
          <w:rFonts w:ascii="Times New Roman" w:hAnsi="Times New Roman" w:eastAsia="黑体" w:cs="黑体"/>
          <w:color w:val="000000" w:themeColor="text1"/>
          <w:lang w:val="en-US"/>
          <w14:textFill>
            <w14:solidFill>
              <w14:schemeClr w14:val="tx1"/>
            </w14:solidFill>
          </w14:textFill>
        </w:rPr>
        <w:t>三、题目介绍</w:t>
      </w:r>
    </w:p>
    <w:p w14:paraId="1BF24613">
      <w:pPr>
        <w:spacing w:line="560" w:lineRule="exact"/>
        <w:ind w:firstLine="640" w:firstLineChars="200"/>
        <w:jc w:val="both"/>
        <w:rPr>
          <w:rFonts w:eastAsia="仿宋_GB2312" w:cs="仿宋_GB2312"/>
          <w:color w:val="000000" w:themeColor="text1"/>
          <w:sz w:val="32"/>
          <w:szCs w:val="32"/>
          <w:lang w:val="en-US"/>
          <w14:textFill>
            <w14:solidFill>
              <w14:schemeClr w14:val="tx1"/>
            </w14:solidFill>
          </w14:textFill>
        </w:rPr>
      </w:pPr>
      <w:r>
        <w:rPr>
          <w:rFonts w:hint="eastAsia" w:eastAsia="仿宋_GB2312" w:cs="仿宋_GB2312"/>
          <w:color w:val="000000" w:themeColor="text1"/>
          <w:sz w:val="32"/>
          <w:szCs w:val="32"/>
          <w:lang w:val="en-US"/>
          <w14:textFill>
            <w14:solidFill>
              <w14:schemeClr w14:val="tx1"/>
            </w14:solidFill>
          </w14:textFill>
        </w:rPr>
        <w:t>习近平总书记指出，“当今时代，数字技术作为世界科技革命和产业变革的先导力量，日益融入经济社会发展各领域全过程，深刻改变着生产方式、生活方式和社会治理方式。”党的十八大以来，习近平总书记对数字化发展提出了许多新观点引领各行各业的数字化进程。近年来，随着数字技术的飞速发展，电子商务、移动支付、在线教育、智能制造、数字政府、人工智能、数字医疗等成为推动社会进步的重要力量，在医疗、教育、金融等领域发挥着越来越重要的作用。值得注意的是，数字技术突破和新兴应用在促进新质生产力发展的同时，伴随产生的伦理问题成为全世界面临的共同挑战。本选题通过揭示数字技术所面临的伦理挑战并积极探索有效的化解路径，构建完善的数字伦理体系，一方面，可以有效地消解数字技术带来的社会风险，保障数字技术的健康发展和实现数字社会的良性治理，在实践中不断探索与完善，从而为数字中国的高质量发展保驾护航。另一方面，本研究有助于激发市场对数字技术的发展作出积极的回应，为数字科技应用加上伦理审查装置，汇聚各方力量共同构建完善的数字伦理体系，有效地化解数字技术带来的社会风险，在推动社会进步的同时所引发的道德和伦理问题，推动数字技术的健康、可持续发展。</w:t>
      </w:r>
    </w:p>
    <w:p w14:paraId="38771700">
      <w:pPr>
        <w:pStyle w:val="3"/>
        <w:numPr>
          <w:ilvl w:val="0"/>
          <w:numId w:val="0"/>
        </w:numPr>
        <w:spacing w:line="240" w:lineRule="auto"/>
        <w:ind w:firstLine="640" w:firstLineChars="200"/>
        <w:jc w:val="both"/>
        <w:rPr>
          <w:rFonts w:ascii="Times New Roman" w:hAnsi="Times New Roman" w:eastAsia="黑体" w:cs="黑体"/>
          <w:color w:val="000000" w:themeColor="text1"/>
          <w:lang w:val="en-US"/>
          <w14:textFill>
            <w14:solidFill>
              <w14:schemeClr w14:val="tx1"/>
            </w14:solidFill>
          </w14:textFill>
        </w:rPr>
      </w:pPr>
      <w:r>
        <w:rPr>
          <w:rFonts w:ascii="Times New Roman" w:hAnsi="Times New Roman" w:eastAsia="黑体" w:cs="黑体"/>
          <w:color w:val="000000" w:themeColor="text1"/>
          <w:lang w:val="en-US"/>
          <w14:textFill>
            <w14:solidFill>
              <w14:schemeClr w14:val="tx1"/>
            </w14:solidFill>
          </w14:textFill>
        </w:rPr>
        <w:t>四、</w:t>
      </w:r>
      <w:r>
        <w:rPr>
          <w:rFonts w:hint="eastAsia" w:ascii="Times New Roman" w:hAnsi="Times New Roman" w:eastAsia="黑体" w:cs="黑体"/>
          <w:color w:val="000000" w:themeColor="text1"/>
          <w:lang w:val="en-US"/>
          <w14:textFill>
            <w14:solidFill>
              <w14:schemeClr w14:val="tx1"/>
            </w14:solidFill>
          </w14:textFill>
        </w:rPr>
        <w:t>参赛对象</w:t>
      </w:r>
    </w:p>
    <w:p w14:paraId="4BBA3B82">
      <w:pPr>
        <w:spacing w:line="560" w:lineRule="exact"/>
        <w:ind w:firstLine="640" w:firstLineChars="200"/>
        <w:rPr>
          <w:rFonts w:eastAsia="仿宋_GB2312" w:cs="仿宋_GB2312"/>
          <w:sz w:val="32"/>
          <w:szCs w:val="32"/>
          <w:lang w:val="en-US"/>
        </w:rPr>
      </w:pPr>
      <w:r>
        <w:rPr>
          <w:rFonts w:hint="eastAsia" w:eastAsia="仿宋_GB2312" w:cs="仿宋_GB2312"/>
          <w:sz w:val="32"/>
          <w:szCs w:val="32"/>
          <w:lang w:val="en-US"/>
        </w:rPr>
        <w:t>2024年6月1日以前正式注册的全日制非成人教育的在校本科生、硕士研究生（不含在职研究生）均可申报作品参赛，以个人或团队形式参赛均可，每个团队不超过10人（含作品申报者），每件作品可由不超过3名教师指导完成。可以跨专业、跨学院组队，所属单位以学生负责人所在院系认定。</w:t>
      </w:r>
    </w:p>
    <w:p w14:paraId="4289C244">
      <w:pPr>
        <w:spacing w:line="560" w:lineRule="exact"/>
        <w:ind w:firstLine="640" w:firstLineChars="200"/>
        <w:rPr>
          <w:rFonts w:eastAsia="仿宋_GB2312" w:cs="仿宋_GB2312"/>
          <w:sz w:val="32"/>
          <w:szCs w:val="32"/>
          <w:lang w:val="en-US"/>
        </w:rPr>
      </w:pPr>
      <w:r>
        <w:rPr>
          <w:rFonts w:hint="eastAsia" w:eastAsia="仿宋_GB2312" w:cs="仿宋_GB2312"/>
          <w:sz w:val="32"/>
          <w:szCs w:val="32"/>
          <w:lang w:val="en-US"/>
        </w:rPr>
        <w:t>本校硕博连读生（直博生）若在2024年6月1日以前未通过博士资格考试的，可以按研究生学历申报作品。没有实行资格考试制度的学校，前两年可以按硕士学历申报作品。本硕博连读生，按照四年、两年分别对应本、硕申报，后续则不可申报。</w:t>
      </w:r>
    </w:p>
    <w:p w14:paraId="39EE94F4">
      <w:pPr>
        <w:spacing w:line="560" w:lineRule="exact"/>
        <w:ind w:firstLine="640" w:firstLineChars="200"/>
        <w:rPr>
          <w:rFonts w:eastAsia="仿宋_GB2312" w:cs="仿宋_GB2312"/>
          <w:sz w:val="32"/>
          <w:szCs w:val="32"/>
          <w:lang w:val="en-US"/>
        </w:rPr>
      </w:pPr>
      <w:r>
        <w:rPr>
          <w:rFonts w:hint="eastAsia" w:eastAsia="仿宋_GB2312" w:cs="仿宋_GB2312"/>
          <w:sz w:val="32"/>
          <w:szCs w:val="32"/>
          <w:lang w:val="en-US"/>
        </w:rPr>
        <w:t>毕业设计和课程设计（论文）、学年论文和学位论文、国际竞赛中获奖的作品、获国家级奖励成果（含本竞赛主办单位参与举办的其他全国性竞赛的获奖作品）等均不在申报范围之列。</w:t>
      </w:r>
    </w:p>
    <w:p w14:paraId="10D51DD9">
      <w:pPr>
        <w:spacing w:line="560" w:lineRule="exact"/>
        <w:ind w:firstLine="640" w:firstLineChars="200"/>
        <w:rPr>
          <w:rFonts w:eastAsia="仿宋_GB2312" w:cs="仿宋_GB2312"/>
          <w:sz w:val="32"/>
          <w:szCs w:val="32"/>
          <w:lang w:val="en-US"/>
        </w:rPr>
      </w:pPr>
      <w:r>
        <w:rPr>
          <w:rFonts w:hint="eastAsia" w:eastAsia="仿宋_GB2312" w:cs="仿宋_GB2312"/>
          <w:sz w:val="32"/>
          <w:szCs w:val="32"/>
          <w:lang w:val="en-US"/>
        </w:rPr>
        <w:t>每件作品仅可由1个学院推报，学院在推报前要对参赛团队成员及作品进行相关资格审查。</w:t>
      </w:r>
    </w:p>
    <w:p w14:paraId="5AE6D311">
      <w:pPr>
        <w:spacing w:line="560" w:lineRule="exact"/>
        <w:ind w:firstLine="640" w:firstLineChars="200"/>
        <w:rPr>
          <w:rFonts w:eastAsia="仿宋_GB2312" w:cs="仿宋_GB2312"/>
          <w:sz w:val="32"/>
          <w:szCs w:val="32"/>
          <w:lang w:val="en-US"/>
        </w:rPr>
      </w:pPr>
      <w:r>
        <w:rPr>
          <w:rFonts w:hint="eastAsia" w:eastAsia="仿宋_GB2312" w:cs="仿宋_GB2312"/>
          <w:sz w:val="32"/>
          <w:szCs w:val="32"/>
          <w:lang w:val="en-US"/>
        </w:rPr>
        <w:t>每个学院选送参加专项赛的作品数量不设限制，同一作品不得同时参加第二十四届“创新杯”大学生课外学术科技作品竞赛和第二十四届“创新杯”</w:t>
      </w:r>
      <w:r>
        <w:rPr>
          <w:rFonts w:eastAsia="仿宋_GB2312"/>
          <w:color w:val="333333"/>
          <w:sz w:val="32"/>
          <w:szCs w:val="28"/>
          <w:shd w:val="clear" w:color="auto" w:fill="FFFFFF"/>
          <w:lang w:bidi="ar"/>
        </w:rPr>
        <w:t>大学生创业计划竞赛</w:t>
      </w:r>
      <w:r>
        <w:rPr>
          <w:rFonts w:hint="eastAsia" w:eastAsia="仿宋_GB2312" w:cs="仿宋_GB2312"/>
          <w:sz w:val="32"/>
          <w:szCs w:val="32"/>
          <w:lang w:val="en-US"/>
        </w:rPr>
        <w:t>。已参加第十九届“挑战杯”全国大学生课外学术科技作品竞赛2024年度“揭榜挂帅”专项赛的作品可以继续参加第二十四届“创新杯”揭榜挂帅专项赛。</w:t>
      </w:r>
    </w:p>
    <w:p w14:paraId="643C06B8">
      <w:pPr>
        <w:pStyle w:val="3"/>
        <w:numPr>
          <w:ilvl w:val="0"/>
          <w:numId w:val="0"/>
        </w:numPr>
        <w:spacing w:line="240" w:lineRule="auto"/>
        <w:ind w:firstLine="640" w:firstLineChars="200"/>
        <w:jc w:val="both"/>
        <w:rPr>
          <w:rFonts w:ascii="Times New Roman" w:hAnsi="Times New Roman" w:eastAsia="黑体" w:cs="黑体"/>
          <w:color w:val="000000" w:themeColor="text1"/>
          <w:lang w:val="en-US"/>
          <w14:textFill>
            <w14:solidFill>
              <w14:schemeClr w14:val="tx1"/>
            </w14:solidFill>
          </w14:textFill>
        </w:rPr>
      </w:pPr>
      <w:r>
        <w:rPr>
          <w:rFonts w:hint="eastAsia" w:ascii="Times New Roman" w:hAnsi="Times New Roman" w:eastAsia="黑体" w:cs="黑体"/>
          <w:color w:val="000000" w:themeColor="text1"/>
          <w:lang w:val="en-US"/>
          <w14:textFill>
            <w14:solidFill>
              <w14:schemeClr w14:val="tx1"/>
            </w14:solidFill>
          </w14:textFill>
        </w:rPr>
        <w:t>五、作品要求</w:t>
      </w:r>
    </w:p>
    <w:p w14:paraId="6DDAAEFC">
      <w:pPr>
        <w:spacing w:line="560" w:lineRule="exact"/>
        <w:ind w:firstLine="640" w:firstLineChars="200"/>
        <w:jc w:val="both"/>
        <w:rPr>
          <w:rFonts w:eastAsia="仿宋_GB2312" w:cs="仿宋_GB2312"/>
          <w:color w:val="000000" w:themeColor="text1"/>
          <w:sz w:val="32"/>
          <w:szCs w:val="32"/>
          <w:lang w:val="en-US"/>
          <w14:textFill>
            <w14:solidFill>
              <w14:schemeClr w14:val="tx1"/>
            </w14:solidFill>
          </w14:textFill>
        </w:rPr>
      </w:pPr>
      <w:r>
        <w:rPr>
          <w:rFonts w:hint="eastAsia" w:eastAsia="仿宋_GB2312" w:cs="仿宋_GB2312"/>
          <w:color w:val="000000" w:themeColor="text1"/>
          <w:sz w:val="32"/>
          <w:szCs w:val="32"/>
          <w:lang w:val="en-US"/>
          <w14:textFill>
            <w14:solidFill>
              <w14:schemeClr w14:val="tx1"/>
            </w14:solidFill>
          </w14:textFill>
        </w:rPr>
        <w:t>参赛者应聚焦“数字技术的伦理风险与化解路径研究”这一重要主题，分析当前数字技术所面临的伦理问题、风险点、治理困境等，针对性提出对策建议。提出的观点要言之有据，政策建议要做到可落地、可操作。研究除需一定的理论深度外，方法上也应综合采取访谈、问卷调查以及网络抓取等大数据分析方法来推进。作品形式要求如下：</w:t>
      </w:r>
    </w:p>
    <w:p w14:paraId="7977FA32">
      <w:pPr>
        <w:spacing w:line="560" w:lineRule="exact"/>
        <w:ind w:firstLine="640" w:firstLineChars="200"/>
        <w:jc w:val="both"/>
        <w:rPr>
          <w:rFonts w:eastAsia="仿宋_GB2312" w:cs="仿宋_GB2312"/>
          <w:color w:val="000000" w:themeColor="text1"/>
          <w:sz w:val="32"/>
          <w:szCs w:val="32"/>
          <w:lang w:val="en-US"/>
          <w14:textFill>
            <w14:solidFill>
              <w14:schemeClr w14:val="tx1"/>
            </w14:solidFill>
          </w14:textFill>
        </w:rPr>
      </w:pPr>
      <w:r>
        <w:rPr>
          <w:rFonts w:hint="eastAsia" w:eastAsia="仿宋_GB2312" w:cs="仿宋_GB2312"/>
          <w:color w:val="000000" w:themeColor="text1"/>
          <w:sz w:val="32"/>
          <w:szCs w:val="32"/>
          <w:lang w:val="en-US"/>
          <w14:textFill>
            <w14:solidFill>
              <w14:schemeClr w14:val="tx1"/>
            </w14:solidFill>
          </w14:textFill>
        </w:rPr>
        <w:t>提交1份社会调查报告或者学术论文。调查报告或学术论文要结构完整，合乎学术规范；倡导开展自主调查，调查资料要详实准确；结合调研数据和访谈材料进行分析，做到行文流畅，论点明确，论据充分，逻辑清晰；政策建议贴近实际，具有可行性；社会调查报告字数在15000字以上，学术论文字数在12000字以上。</w:t>
      </w:r>
    </w:p>
    <w:p w14:paraId="0AC64BB9">
      <w:pPr>
        <w:spacing w:line="560" w:lineRule="exact"/>
        <w:ind w:firstLine="640" w:firstLineChars="200"/>
        <w:jc w:val="both"/>
        <w:rPr>
          <w:rFonts w:eastAsia="仿宋_GB2312" w:cs="仿宋_GB2312"/>
          <w:color w:val="000000" w:themeColor="text1"/>
          <w:sz w:val="32"/>
          <w:szCs w:val="32"/>
          <w:lang w:val="en-US"/>
          <w14:textFill>
            <w14:solidFill>
              <w14:schemeClr w14:val="tx1"/>
            </w14:solidFill>
          </w14:textFill>
        </w:rPr>
      </w:pPr>
      <w:r>
        <w:rPr>
          <w:rFonts w:hint="eastAsia" w:eastAsia="仿宋_GB2312" w:cs="仿宋_GB2312"/>
          <w:color w:val="000000" w:themeColor="text1"/>
          <w:sz w:val="32"/>
          <w:szCs w:val="32"/>
          <w:lang w:val="en-US"/>
          <w14:textFill>
            <w14:solidFill>
              <w14:schemeClr w14:val="tx1"/>
            </w14:solidFill>
          </w14:textFill>
        </w:rPr>
        <w:t>2. 提交与主题有关的其他理论成果，包括但不限于提交与作品有关的领导批示、采纳意见、新闻报道等支持性材料（如有可提供）。</w:t>
      </w:r>
    </w:p>
    <w:p w14:paraId="7453BFE9">
      <w:pPr>
        <w:spacing w:line="560" w:lineRule="exact"/>
        <w:ind w:firstLine="640" w:firstLineChars="200"/>
        <w:jc w:val="both"/>
        <w:rPr>
          <w:rFonts w:eastAsia="仿宋_GB2312" w:cs="仿宋_GB2312"/>
          <w:color w:val="000000" w:themeColor="text1"/>
          <w:sz w:val="32"/>
          <w:szCs w:val="32"/>
          <w:lang w:val="en-US"/>
          <w14:textFill>
            <w14:solidFill>
              <w14:schemeClr w14:val="tx1"/>
            </w14:solidFill>
          </w14:textFill>
        </w:rPr>
      </w:pPr>
      <w:r>
        <w:rPr>
          <w:rFonts w:hint="eastAsia" w:eastAsia="仿宋_GB2312" w:cs="仿宋_GB2312"/>
          <w:color w:val="000000" w:themeColor="text1"/>
          <w:sz w:val="32"/>
          <w:szCs w:val="32"/>
          <w:lang w:val="en-US"/>
          <w14:textFill>
            <w14:solidFill>
              <w14:schemeClr w14:val="tx1"/>
            </w14:solidFill>
          </w14:textFill>
        </w:rPr>
        <w:t>3. 提交调研过程中形成的调研心得、手记、访谈资料及基础数据等（如有可提交）。</w:t>
      </w:r>
    </w:p>
    <w:p w14:paraId="4BF64754">
      <w:pPr>
        <w:spacing w:line="560" w:lineRule="exact"/>
        <w:ind w:firstLine="640" w:firstLineChars="200"/>
        <w:jc w:val="both"/>
        <w:rPr>
          <w:rFonts w:eastAsia="仿宋_GB2312" w:cs="仿宋_GB2312"/>
          <w:color w:val="000000" w:themeColor="text1"/>
          <w:sz w:val="32"/>
          <w:szCs w:val="32"/>
          <w:lang w:val="en-US"/>
          <w14:textFill>
            <w14:solidFill>
              <w14:schemeClr w14:val="tx1"/>
            </w14:solidFill>
          </w14:textFill>
        </w:rPr>
      </w:pPr>
      <w:r>
        <w:rPr>
          <w:rFonts w:hint="eastAsia" w:eastAsia="仿宋_GB2312" w:cs="仿宋_GB2312"/>
          <w:color w:val="000000" w:themeColor="text1"/>
          <w:sz w:val="32"/>
          <w:szCs w:val="32"/>
          <w:lang w:val="en-US"/>
          <w14:textFill>
            <w14:solidFill>
              <w14:schemeClr w14:val="tx1"/>
            </w14:solidFill>
          </w14:textFill>
        </w:rPr>
        <w:t>参赛者必须保证作品的原创性，且未公开发表。应杜绝一切抄袭或剽窃他人成果的作品参赛，参赛者应严格遵守国家有关知识产权保护的规定，不得侵犯任何第三方的知识产权或其他权利。如引发知识产权纠纷，责任由参赛者自负。</w:t>
      </w:r>
    </w:p>
    <w:p w14:paraId="421B3AC1">
      <w:pPr>
        <w:pStyle w:val="3"/>
        <w:numPr>
          <w:ilvl w:val="0"/>
          <w:numId w:val="0"/>
        </w:numPr>
        <w:spacing w:line="240" w:lineRule="auto"/>
        <w:ind w:firstLine="640" w:firstLineChars="200"/>
        <w:jc w:val="both"/>
        <w:rPr>
          <w:rFonts w:ascii="Times New Roman" w:hAnsi="Times New Roman" w:eastAsia="黑体" w:cs="黑体"/>
          <w:color w:val="000000" w:themeColor="text1"/>
          <w:lang w:val="en-US"/>
          <w14:textFill>
            <w14:solidFill>
              <w14:schemeClr w14:val="tx1"/>
            </w14:solidFill>
          </w14:textFill>
        </w:rPr>
      </w:pPr>
      <w:r>
        <w:rPr>
          <w:rFonts w:hint="eastAsia" w:ascii="Times New Roman" w:hAnsi="Times New Roman" w:eastAsia="黑体" w:cs="黑体"/>
          <w:color w:val="000000" w:themeColor="text1"/>
          <w:lang w:val="en-US"/>
          <w14:textFill>
            <w14:solidFill>
              <w14:schemeClr w14:val="tx1"/>
            </w14:solidFill>
          </w14:textFill>
        </w:rPr>
        <w:t>六、作品评选参考标准</w:t>
      </w:r>
    </w:p>
    <w:p w14:paraId="29A9E4C4">
      <w:pPr>
        <w:spacing w:line="560" w:lineRule="exact"/>
        <w:ind w:firstLine="640" w:firstLineChars="200"/>
        <w:jc w:val="both"/>
        <w:rPr>
          <w:rFonts w:eastAsia="仿宋_GB2312" w:cs="仿宋_GB2312"/>
          <w:color w:val="000000" w:themeColor="text1"/>
          <w:sz w:val="32"/>
          <w:szCs w:val="32"/>
          <w:lang w:val="en-US"/>
          <w14:textFill>
            <w14:solidFill>
              <w14:schemeClr w14:val="tx1"/>
            </w14:solidFill>
          </w14:textFill>
        </w:rPr>
      </w:pPr>
      <w:r>
        <w:rPr>
          <w:rFonts w:eastAsia="仿宋_GB2312" w:cs="仿宋_GB2312"/>
          <w:color w:val="000000" w:themeColor="text1"/>
          <w:sz w:val="32"/>
          <w:szCs w:val="32"/>
          <w:lang w:val="en-US"/>
          <w14:textFill>
            <w14:solidFill>
              <w14:schemeClr w14:val="tx1"/>
            </w14:solidFill>
          </w14:textFill>
        </w:rPr>
        <w:t>评审将从作品规范性、</w:t>
      </w:r>
      <w:r>
        <w:rPr>
          <w:rFonts w:hint="eastAsia" w:eastAsia="仿宋_GB2312" w:cs="仿宋_GB2312"/>
          <w:color w:val="000000" w:themeColor="text1"/>
          <w:sz w:val="32"/>
          <w:szCs w:val="32"/>
          <w:lang w:val="en-US"/>
          <w14:textFill>
            <w14:solidFill>
              <w14:schemeClr w14:val="tx1"/>
            </w14:solidFill>
          </w14:textFill>
        </w:rPr>
        <w:t>教育性、创新性、社会价值性</w:t>
      </w:r>
      <w:r>
        <w:rPr>
          <w:rFonts w:eastAsia="仿宋_GB2312" w:cs="仿宋_GB2312"/>
          <w:color w:val="000000" w:themeColor="text1"/>
          <w:sz w:val="32"/>
          <w:szCs w:val="32"/>
          <w:lang w:val="en-US"/>
          <w14:textFill>
            <w14:solidFill>
              <w14:schemeClr w14:val="tx1"/>
            </w14:solidFill>
          </w14:textFill>
        </w:rPr>
        <w:t>四个方面对参赛作品进行综合评价</w:t>
      </w:r>
      <w:r>
        <w:rPr>
          <w:rFonts w:hint="eastAsia" w:eastAsia="仿宋_GB2312" w:cs="仿宋_GB2312"/>
          <w:color w:val="000000" w:themeColor="text1"/>
          <w:sz w:val="32"/>
          <w:szCs w:val="32"/>
          <w:lang w:val="en-US"/>
          <w14:textFill>
            <w14:solidFill>
              <w14:schemeClr w14:val="tx1"/>
            </w14:solidFill>
          </w14:textFill>
        </w:rPr>
        <w:t>，</w:t>
      </w:r>
      <w:r>
        <w:rPr>
          <w:rFonts w:eastAsia="仿宋_GB2312" w:cs="仿宋_GB2312"/>
          <w:color w:val="000000" w:themeColor="text1"/>
          <w:sz w:val="32"/>
          <w:szCs w:val="32"/>
          <w:lang w:val="en-US"/>
          <w14:textFill>
            <w14:solidFill>
              <w14:schemeClr w14:val="tx1"/>
            </w14:solidFill>
          </w14:textFill>
        </w:rPr>
        <w:t>共计100分，具体标准如下：</w:t>
      </w:r>
    </w:p>
    <w:p w14:paraId="75BA0732">
      <w:pPr>
        <w:spacing w:line="560" w:lineRule="exact"/>
        <w:ind w:firstLine="640" w:firstLineChars="200"/>
        <w:jc w:val="both"/>
        <w:rPr>
          <w:rFonts w:eastAsia="仿宋_GB2312" w:cs="仿宋_GB2312"/>
          <w:color w:val="000000" w:themeColor="text1"/>
          <w:sz w:val="32"/>
          <w:szCs w:val="32"/>
          <w:lang w:val="en-US"/>
          <w14:textFill>
            <w14:solidFill>
              <w14:schemeClr w14:val="tx1"/>
            </w14:solidFill>
          </w14:textFill>
        </w:rPr>
      </w:pPr>
      <w:r>
        <w:rPr>
          <w:rFonts w:eastAsia="仿宋_GB2312" w:cs="仿宋_GB2312"/>
          <w:color w:val="000000" w:themeColor="text1"/>
          <w:sz w:val="32"/>
          <w:szCs w:val="32"/>
          <w:lang w:val="en-US"/>
          <w14:textFill>
            <w14:solidFill>
              <w14:schemeClr w14:val="tx1"/>
            </w14:solidFill>
          </w14:textFill>
        </w:rPr>
        <w:t>规范性（20分）作品实证分析的质量和数据支撑的可靠性，以及对研究结论的支持程度。作品遵守学术规范的程度，包括文献引用、数据来源、格式要求等。作品的文字表达清晰、准确、流畅，逻辑结构严谨。</w:t>
      </w:r>
    </w:p>
    <w:p w14:paraId="7CB2FAC1">
      <w:pPr>
        <w:spacing w:line="560" w:lineRule="exact"/>
        <w:ind w:firstLine="640" w:firstLineChars="200"/>
        <w:jc w:val="both"/>
        <w:rPr>
          <w:rFonts w:eastAsia="仿宋_GB2312" w:cs="仿宋_GB2312"/>
          <w:color w:val="000000" w:themeColor="text1"/>
          <w:sz w:val="32"/>
          <w:szCs w:val="32"/>
          <w:lang w:val="en-US"/>
          <w14:textFill>
            <w14:solidFill>
              <w14:schemeClr w14:val="tx1"/>
            </w14:solidFill>
          </w14:textFill>
        </w:rPr>
      </w:pPr>
      <w:r>
        <w:rPr>
          <w:rFonts w:eastAsia="仿宋_GB2312" w:cs="仿宋_GB2312"/>
          <w:color w:val="000000" w:themeColor="text1"/>
          <w:sz w:val="32"/>
          <w:szCs w:val="32"/>
          <w:lang w:val="en-US"/>
          <w14:textFill>
            <w14:solidFill>
              <w14:schemeClr w14:val="tx1"/>
            </w14:solidFill>
          </w14:textFill>
        </w:rPr>
        <w:t>教育性（30分）项目应弘扬正确的价值观，厚植家国情怀，恪守伦理规范，培育创新挑战精神</w:t>
      </w:r>
      <w:r>
        <w:rPr>
          <w:rFonts w:hint="eastAsia" w:eastAsia="仿宋_GB2312" w:cs="仿宋_GB2312"/>
          <w:color w:val="000000" w:themeColor="text1"/>
          <w:sz w:val="32"/>
          <w:szCs w:val="32"/>
          <w:lang w:val="en-US"/>
          <w14:textFill>
            <w14:solidFill>
              <w14:schemeClr w14:val="tx1"/>
            </w14:solidFill>
          </w14:textFill>
        </w:rPr>
        <w:t>。</w:t>
      </w:r>
      <w:r>
        <w:rPr>
          <w:rFonts w:eastAsia="仿宋_GB2312" w:cs="仿宋_GB2312"/>
          <w:color w:val="000000" w:themeColor="text1"/>
          <w:sz w:val="32"/>
          <w:szCs w:val="32"/>
          <w:lang w:val="en-US"/>
          <w14:textFill>
            <w14:solidFill>
              <w14:schemeClr w14:val="tx1"/>
            </w14:solidFill>
          </w14:textFill>
        </w:rPr>
        <w:t>充分体现团队解决复杂问题的综合能力和高级思维。</w:t>
      </w:r>
    </w:p>
    <w:p w14:paraId="794AA609">
      <w:pPr>
        <w:spacing w:line="560" w:lineRule="exact"/>
        <w:ind w:firstLine="640" w:firstLineChars="200"/>
        <w:jc w:val="both"/>
        <w:rPr>
          <w:rFonts w:eastAsia="仿宋_GB2312" w:cs="仿宋_GB2312"/>
          <w:color w:val="000000" w:themeColor="text1"/>
          <w:sz w:val="32"/>
          <w:szCs w:val="32"/>
          <w:lang w:val="en-US"/>
          <w14:textFill>
            <w14:solidFill>
              <w14:schemeClr w14:val="tx1"/>
            </w14:solidFill>
          </w14:textFill>
        </w:rPr>
      </w:pPr>
      <w:r>
        <w:rPr>
          <w:rFonts w:eastAsia="仿宋_GB2312" w:cs="仿宋_GB2312"/>
          <w:color w:val="000000" w:themeColor="text1"/>
          <w:sz w:val="32"/>
          <w:szCs w:val="32"/>
          <w:lang w:val="en-US"/>
          <w14:textFill>
            <w14:solidFill>
              <w14:schemeClr w14:val="tx1"/>
            </w14:solidFill>
          </w14:textFill>
        </w:rPr>
        <w:t>创新性（20分）作品在理论、方法或实践上的创新性程度，以及对现有研究的突破和贡献。</w:t>
      </w:r>
    </w:p>
    <w:p w14:paraId="3FD0A513">
      <w:pPr>
        <w:spacing w:line="560" w:lineRule="exact"/>
        <w:ind w:firstLine="640" w:firstLineChars="200"/>
        <w:jc w:val="both"/>
        <w:rPr>
          <w:rFonts w:eastAsia="仿宋_GB2312" w:cs="仿宋_GB2312"/>
          <w:color w:val="000000" w:themeColor="text1"/>
          <w:sz w:val="32"/>
          <w:szCs w:val="32"/>
          <w:lang w:val="en-US"/>
          <w14:textFill>
            <w14:solidFill>
              <w14:schemeClr w14:val="tx1"/>
            </w14:solidFill>
          </w14:textFill>
        </w:rPr>
      </w:pPr>
      <w:r>
        <w:rPr>
          <w:rFonts w:eastAsia="仿宋_GB2312" w:cs="仿宋_GB2312"/>
          <w:color w:val="000000" w:themeColor="text1"/>
          <w:sz w:val="32"/>
          <w:szCs w:val="32"/>
          <w:lang w:val="en-US"/>
          <w14:textFill>
            <w14:solidFill>
              <w14:schemeClr w14:val="tx1"/>
            </w14:solidFill>
          </w14:textFill>
        </w:rPr>
        <w:t>社会价值性（30分）项目对社会文明、民生福祉等方面的积极推动作用。作品提出的政策建议和实践路径的可操作性和实用性，以及对现实问题的解决能力。</w:t>
      </w:r>
    </w:p>
    <w:p w14:paraId="4259A2D8">
      <w:pPr>
        <w:pStyle w:val="3"/>
        <w:numPr>
          <w:ilvl w:val="0"/>
          <w:numId w:val="0"/>
        </w:numPr>
        <w:spacing w:line="240" w:lineRule="auto"/>
        <w:ind w:firstLine="640" w:firstLineChars="200"/>
        <w:jc w:val="both"/>
        <w:rPr>
          <w:rFonts w:ascii="Times New Roman" w:hAnsi="Times New Roman" w:eastAsia="黑体" w:cs="黑体"/>
          <w:color w:val="000000" w:themeColor="text1"/>
          <w:lang w:val="en-US"/>
          <w14:textFill>
            <w14:solidFill>
              <w14:schemeClr w14:val="tx1"/>
            </w14:solidFill>
          </w14:textFill>
        </w:rPr>
      </w:pPr>
      <w:r>
        <w:rPr>
          <w:rFonts w:hint="eastAsia" w:ascii="Times New Roman" w:hAnsi="Times New Roman" w:eastAsia="黑体" w:cs="黑体"/>
          <w:color w:val="000000" w:themeColor="text1"/>
          <w:lang w:val="en-US"/>
          <w14:textFill>
            <w14:solidFill>
              <w14:schemeClr w14:val="tx1"/>
            </w14:solidFill>
          </w14:textFill>
        </w:rPr>
        <w:t>七、作品提交及评审安排</w:t>
      </w:r>
    </w:p>
    <w:p w14:paraId="25828C9B">
      <w:pPr>
        <w:spacing w:line="560" w:lineRule="exact"/>
        <w:ind w:firstLine="640" w:firstLineChars="200"/>
        <w:jc w:val="both"/>
        <w:rPr>
          <w:rFonts w:eastAsia="仿宋_GB2312" w:cs="仿宋_GB2312"/>
          <w:sz w:val="32"/>
          <w:szCs w:val="32"/>
          <w:lang w:val="en-US"/>
        </w:rPr>
      </w:pPr>
      <w:r>
        <w:rPr>
          <w:rFonts w:eastAsia="仿宋_GB2312" w:cs="仿宋_GB2312"/>
          <w:sz w:val="32"/>
          <w:szCs w:val="32"/>
          <w:lang w:val="en-US"/>
        </w:rPr>
        <w:t>各学院于2024年10月前进行作品申报及其作者的资格及形式审查，并组成本学院评审委员会</w:t>
      </w:r>
      <w:r>
        <w:rPr>
          <w:rFonts w:hint="eastAsia" w:eastAsia="仿宋_GB2312" w:cs="仿宋_GB2312"/>
          <w:sz w:val="32"/>
          <w:szCs w:val="32"/>
          <w:lang w:val="en-US"/>
        </w:rPr>
        <w:t>。</w:t>
      </w:r>
    </w:p>
    <w:p w14:paraId="1C58DC25">
      <w:pPr>
        <w:spacing w:line="560" w:lineRule="exact"/>
        <w:ind w:firstLine="640" w:firstLineChars="200"/>
        <w:jc w:val="both"/>
        <w:rPr>
          <w:rFonts w:eastAsia="仿宋_GB2312" w:cs="仿宋_GB2312"/>
          <w:sz w:val="32"/>
          <w:szCs w:val="32"/>
          <w:lang w:val="en-US"/>
        </w:rPr>
      </w:pPr>
      <w:r>
        <w:rPr>
          <w:rFonts w:eastAsia="仿宋_GB2312" w:cs="仿宋_GB2312"/>
          <w:sz w:val="32"/>
          <w:szCs w:val="32"/>
          <w:lang w:val="en-US"/>
        </w:rPr>
        <w:t>各学院评审委员会于2024年1</w:t>
      </w:r>
      <w:r>
        <w:rPr>
          <w:rFonts w:hint="eastAsia" w:eastAsia="仿宋_GB2312" w:cs="仿宋_GB2312"/>
          <w:sz w:val="32"/>
          <w:szCs w:val="32"/>
          <w:lang w:val="en-US"/>
        </w:rPr>
        <w:t>0</w:t>
      </w:r>
      <w:r>
        <w:rPr>
          <w:rFonts w:eastAsia="仿宋_GB2312" w:cs="仿宋_GB2312"/>
          <w:sz w:val="32"/>
          <w:szCs w:val="32"/>
          <w:lang w:val="en-US"/>
        </w:rPr>
        <w:t>月底前完成对本学院申报作品的院级选拔赛，择优挑选作品，于2024年1</w:t>
      </w:r>
      <w:r>
        <w:rPr>
          <w:rFonts w:hint="eastAsia" w:eastAsia="仿宋_GB2312" w:cs="仿宋_GB2312"/>
          <w:sz w:val="32"/>
          <w:szCs w:val="32"/>
          <w:lang w:val="en-US"/>
        </w:rPr>
        <w:t>1</w:t>
      </w:r>
      <w:r>
        <w:rPr>
          <w:rFonts w:eastAsia="仿宋_GB2312" w:cs="仿宋_GB2312"/>
          <w:sz w:val="32"/>
          <w:szCs w:val="32"/>
          <w:lang w:val="en-US"/>
        </w:rPr>
        <w:t>月</w:t>
      </w:r>
      <w:r>
        <w:rPr>
          <w:rFonts w:hint="eastAsia" w:eastAsia="仿宋_GB2312" w:cs="仿宋_GB2312"/>
          <w:sz w:val="32"/>
          <w:szCs w:val="32"/>
          <w:lang w:val="en-US"/>
        </w:rPr>
        <w:t>8日前</w:t>
      </w:r>
      <w:r>
        <w:rPr>
          <w:rFonts w:eastAsia="仿宋_GB2312" w:cs="仿宋_GB2312"/>
          <w:sz w:val="32"/>
          <w:szCs w:val="32"/>
          <w:lang w:val="en-US"/>
        </w:rPr>
        <w:t>，向校组委会办公室（办公地点设在南湖校区立德楼团委403室）交送书面的作品申报书（附件</w:t>
      </w:r>
      <w:r>
        <w:rPr>
          <w:rFonts w:hint="eastAsia" w:eastAsia="仿宋_GB2312" w:cs="仿宋_GB2312"/>
          <w:sz w:val="32"/>
          <w:szCs w:val="32"/>
          <w:lang w:val="en-US" w:eastAsia="zh-CN"/>
        </w:rPr>
        <w:t>11</w:t>
      </w:r>
      <w:r>
        <w:rPr>
          <w:rFonts w:eastAsia="仿宋_GB2312" w:cs="仿宋_GB2312"/>
          <w:sz w:val="32"/>
          <w:szCs w:val="32"/>
          <w:lang w:val="en-US"/>
        </w:rPr>
        <w:t>）及作品汇总登记表（附件1</w:t>
      </w:r>
      <w:r>
        <w:rPr>
          <w:rFonts w:hint="eastAsia" w:eastAsia="仿宋_GB2312" w:cs="仿宋_GB2312"/>
          <w:sz w:val="32"/>
          <w:szCs w:val="32"/>
          <w:lang w:val="en-US" w:eastAsia="zh-CN"/>
        </w:rPr>
        <w:t>2</w:t>
      </w:r>
      <w:r>
        <w:rPr>
          <w:rFonts w:eastAsia="仿宋_GB2312" w:cs="仿宋_GB2312"/>
          <w:sz w:val="32"/>
          <w:szCs w:val="32"/>
          <w:lang w:val="en-US"/>
        </w:rPr>
        <w:t>），电子版发送至校科协邮箱</w:t>
      </w:r>
      <w:r>
        <w:fldChar w:fldCharType="begin"/>
      </w:r>
      <w:r>
        <w:instrText xml:space="preserve"> HYPERLINK "mailto:wutxskx@163.com。" </w:instrText>
      </w:r>
      <w:r>
        <w:fldChar w:fldCharType="separate"/>
      </w:r>
      <w:r>
        <w:rPr>
          <w:rStyle w:val="8"/>
          <w:rFonts w:eastAsia="仿宋_GB2312" w:cs="仿宋_GB2312"/>
          <w:sz w:val="32"/>
          <w:szCs w:val="32"/>
          <w:lang w:val="en-US"/>
        </w:rPr>
        <w:t>wutxskx@163.com。</w:t>
      </w:r>
      <w:r>
        <w:rPr>
          <w:rStyle w:val="8"/>
          <w:rFonts w:eastAsia="仿宋_GB2312" w:cs="仿宋_GB2312"/>
          <w:sz w:val="32"/>
          <w:szCs w:val="32"/>
          <w:lang w:val="en-US"/>
        </w:rPr>
        <w:fldChar w:fldCharType="end"/>
      </w:r>
    </w:p>
    <w:p w14:paraId="5175DCC5">
      <w:pPr>
        <w:spacing w:line="560" w:lineRule="exact"/>
        <w:ind w:firstLine="640" w:firstLineChars="200"/>
        <w:jc w:val="both"/>
        <w:rPr>
          <w:rFonts w:eastAsia="仿宋_GB2312" w:cs="仿宋_GB2312"/>
          <w:color w:val="000000" w:themeColor="text1"/>
          <w:sz w:val="32"/>
          <w:szCs w:val="32"/>
          <w:lang w:val="en-US"/>
          <w14:textFill>
            <w14:solidFill>
              <w14:schemeClr w14:val="tx1"/>
            </w14:solidFill>
          </w14:textFill>
        </w:rPr>
      </w:pPr>
      <w:r>
        <w:rPr>
          <w:rFonts w:eastAsia="仿宋_GB2312" w:cs="仿宋_GB2312"/>
          <w:sz w:val="32"/>
          <w:szCs w:val="32"/>
          <w:lang w:val="en-US"/>
        </w:rPr>
        <w:t>2024年11月</w:t>
      </w:r>
      <w:r>
        <w:rPr>
          <w:rFonts w:hint="eastAsia" w:eastAsia="仿宋_GB2312" w:cs="仿宋_GB2312"/>
          <w:sz w:val="32"/>
          <w:szCs w:val="32"/>
          <w:lang w:val="en-US"/>
        </w:rPr>
        <w:t>中旬</w:t>
      </w:r>
      <w:r>
        <w:rPr>
          <w:rFonts w:eastAsia="仿宋_GB2312" w:cs="仿宋_GB2312"/>
          <w:sz w:val="32"/>
          <w:szCs w:val="32"/>
          <w:lang w:val="en-US"/>
        </w:rPr>
        <w:t>至2024年</w:t>
      </w:r>
      <w:bookmarkStart w:id="0" w:name="_GoBack"/>
      <w:bookmarkEnd w:id="0"/>
      <w:r>
        <w:rPr>
          <w:rFonts w:eastAsia="仿宋_GB2312" w:cs="仿宋_GB2312"/>
          <w:sz w:val="32"/>
          <w:szCs w:val="32"/>
          <w:lang w:val="en-US"/>
        </w:rPr>
        <w:t>12月</w:t>
      </w:r>
      <w:r>
        <w:rPr>
          <w:rFonts w:hint="eastAsia" w:eastAsia="仿宋_GB2312" w:cs="仿宋_GB2312"/>
          <w:sz w:val="32"/>
          <w:szCs w:val="32"/>
          <w:lang w:val="en-US"/>
        </w:rPr>
        <w:t>中旬，校评审委员会对作品进行书面评审</w:t>
      </w:r>
      <w:r>
        <w:rPr>
          <w:rFonts w:eastAsia="仿宋_GB2312" w:cs="仿宋_GB2312"/>
          <w:sz w:val="32"/>
          <w:szCs w:val="32"/>
          <w:lang w:val="en-US"/>
        </w:rPr>
        <w:t>、对入围终审决赛项目进行公开答辩</w:t>
      </w:r>
      <w:r>
        <w:rPr>
          <w:rFonts w:hint="eastAsia" w:eastAsia="仿宋_GB2312" w:cs="仿宋_GB2312"/>
          <w:sz w:val="32"/>
          <w:szCs w:val="32"/>
          <w:lang w:val="en-US"/>
        </w:rPr>
        <w:t>。</w:t>
      </w:r>
    </w:p>
    <w:sectPr>
      <w:footerReference r:id="rId3" w:type="default"/>
      <w:pgSz w:w="11906" w:h="16838"/>
      <w:pgMar w:top="1984" w:right="1587" w:bottom="1984" w:left="1587" w:header="851" w:footer="992" w:gutter="0"/>
      <w:cols w:space="0" w:num="1"/>
      <w:docGrid w:type="lines" w:linePitch="33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1999E191-3212-4082-8584-8F1CDDBA8018}"/>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黑体简体">
    <w:altName w:val="微软雅黑"/>
    <w:panose1 w:val="00000000000000000000"/>
    <w:charset w:val="86"/>
    <w:family w:val="script"/>
    <w:pitch w:val="default"/>
    <w:sig w:usb0="00000000" w:usb1="00000000" w:usb2="00000012" w:usb3="00000000" w:csb0="00040001" w:csb1="00000000"/>
  </w:font>
  <w:font w:name="仿宋_GB2312">
    <w:panose1 w:val="02010609030101010101"/>
    <w:charset w:val="86"/>
    <w:family w:val="modern"/>
    <w:pitch w:val="default"/>
    <w:sig w:usb0="00000001" w:usb1="080E0000" w:usb2="00000000" w:usb3="00000000" w:csb0="00040000" w:csb1="00000000"/>
    <w:embedRegular r:id="rId2" w:fontKey="{9070F2D7-262B-4120-92A1-8F3475B3275E}"/>
  </w:font>
  <w:font w:name="方正小标宋简体">
    <w:panose1 w:val="03000509000000000000"/>
    <w:charset w:val="86"/>
    <w:family w:val="auto"/>
    <w:pitch w:val="default"/>
    <w:sig w:usb0="00000001" w:usb1="080E0000" w:usb2="00000000" w:usb3="00000000" w:csb0="00040000" w:csb1="00000000"/>
    <w:embedRegular r:id="rId3" w:fontKey="{CE20AB95-B9EA-4DDB-9657-0CD23DE5516A}"/>
  </w:font>
  <w:font w:name="楷体_GB2312">
    <w:panose1 w:val="02010609030101010101"/>
    <w:charset w:val="86"/>
    <w:family w:val="modern"/>
    <w:pitch w:val="default"/>
    <w:sig w:usb0="00000001" w:usb1="080E0000" w:usb2="00000000" w:usb3="00000000" w:csb0="00040000" w:csb1="00000000"/>
    <w:embedRegular r:id="rId4" w:fontKey="{2A34A441-C642-4C8C-818C-6D7E4FB268DC}"/>
  </w:font>
  <w:font w:name="MS PGothic">
    <w:panose1 w:val="020B0600070205080204"/>
    <w:charset w:val="80"/>
    <w:family w:val="auto"/>
    <w:pitch w:val="default"/>
    <w:sig w:usb0="E00002FF" w:usb1="6AC7FDFB" w:usb2="08000012" w:usb3="00000000" w:csb0="4002009F" w:csb1="DFD7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6EBC4A">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79B05F35">
                          <w:pPr>
                            <w:pStyle w:val="4"/>
                          </w:pPr>
                          <w:r>
                            <w:rPr>
                              <w:rFonts w:ascii="Times New Roman" w:hAnsi="Times New Roman"/>
                              <w:sz w:val="24"/>
                              <w:szCs w:val="24"/>
                            </w:rPr>
                            <w:fldChar w:fldCharType="begin"/>
                          </w:r>
                          <w:r>
                            <w:rPr>
                              <w:rFonts w:ascii="Times New Roman" w:hAnsi="Times New Roman"/>
                              <w:sz w:val="24"/>
                              <w:szCs w:val="24"/>
                            </w:rPr>
                            <w:instrText xml:space="preserve"> PAGE  \* MERGEFORMAT </w:instrText>
                          </w:r>
                          <w:r>
                            <w:rPr>
                              <w:rFonts w:ascii="Times New Roman" w:hAnsi="Times New Roman"/>
                              <w:sz w:val="24"/>
                              <w:szCs w:val="24"/>
                            </w:rPr>
                            <w:fldChar w:fldCharType="separate"/>
                          </w:r>
                          <w:r>
                            <w:rPr>
                              <w:rFonts w:ascii="Times New Roman" w:hAnsi="Times New Roman"/>
                              <w:sz w:val="24"/>
                              <w:szCs w:val="24"/>
                            </w:rPr>
                            <w:t>- 1 -</w:t>
                          </w:r>
                          <w:r>
                            <w:rPr>
                              <w:rFonts w:ascii="Times New Roman" w:hAnsi="Times New Roman"/>
                              <w:sz w:val="24"/>
                              <w:szCs w:val="24"/>
                            </w:rPr>
                            <w:fldChar w:fldCharType="end"/>
                          </w:r>
                        </w:p>
                      </w:txbxContent>
                    </wps:txbx>
                    <wps:bodyPr wrap="none" lIns="0" tIns="0" rIns="0" bIns="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">
              <v:fill on="f" focussize="0,0"/>
              <v:stroke on="f"/>
              <v:imagedata o:title=""/>
              <o:lock v:ext="edit" aspectratio="f"/>
              <v:textbox inset="0mm,0mm,0mm,0mm" style="mso-fit-shape-to-text:t;">
                <w:txbxContent>
                  <w:p w14:paraId="79B05F35">
                    <w:pPr>
                      <w:pStyle w:val="4"/>
                    </w:pPr>
                    <w:r>
                      <w:rPr>
                        <w:rFonts w:ascii="Times New Roman" w:hAnsi="Times New Roman"/>
                        <w:sz w:val="24"/>
                        <w:szCs w:val="24"/>
                      </w:rPr>
                      <w:fldChar w:fldCharType="begin"/>
                    </w:r>
                    <w:r>
                      <w:rPr>
                        <w:rFonts w:ascii="Times New Roman" w:hAnsi="Times New Roman"/>
                        <w:sz w:val="24"/>
                        <w:szCs w:val="24"/>
                      </w:rPr>
                      <w:instrText xml:space="preserve"> PAGE  \* MERGEFORMAT </w:instrText>
                    </w:r>
                    <w:r>
                      <w:rPr>
                        <w:rFonts w:ascii="Times New Roman" w:hAnsi="Times New Roman"/>
                        <w:sz w:val="24"/>
                        <w:szCs w:val="24"/>
                      </w:rPr>
                      <w:fldChar w:fldCharType="separate"/>
                    </w:r>
                    <w:r>
                      <w:rPr>
                        <w:rFonts w:ascii="Times New Roman" w:hAnsi="Times New Roman"/>
                        <w:sz w:val="24"/>
                        <w:szCs w:val="24"/>
                      </w:rPr>
                      <w:t>- 1 -</w:t>
                    </w:r>
                    <w:r>
                      <w:rPr>
                        <w:rFonts w:ascii="Times New Roman" w:hAnsi="Times New Roman"/>
                        <w:sz w:val="24"/>
                        <w:szCs w:val="24"/>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F1D2CD3"/>
    <w:multiLevelType w:val="singleLevel"/>
    <w:tmpl w:val="EF1D2CD3"/>
    <w:lvl w:ilvl="0" w:tentative="0">
      <w:start w:val="1"/>
      <w:numFmt w:val="chineseCounting"/>
      <w:pStyle w:val="3"/>
      <w:suff w:val="nothing"/>
      <w:lvlText w:val="%1、"/>
      <w:lvlJc w:val="left"/>
      <w:pPr>
        <w:ind w:left="147" w:firstLine="42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TrueTypeFonts/>
  <w:saveSubsetFonts/>
  <w:documentProtection w:enforcement="0"/>
  <w:defaultTabStop w:val="420"/>
  <w:drawingGridVerticalSpacing w:val="165"/>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Y2OGM1NTVhMWZkYzAxODEwYjA0ZDliMzMwYzM3NTAifQ=="/>
  </w:docVars>
  <w:rsids>
    <w:rsidRoot w:val="51B16C2D"/>
    <w:rsid w:val="007A32C4"/>
    <w:rsid w:val="009F7616"/>
    <w:rsid w:val="00C424BC"/>
    <w:rsid w:val="00D82E4F"/>
    <w:rsid w:val="01723546"/>
    <w:rsid w:val="02E24D5A"/>
    <w:rsid w:val="03F82FC0"/>
    <w:rsid w:val="061D1A01"/>
    <w:rsid w:val="06C31CBB"/>
    <w:rsid w:val="0782269F"/>
    <w:rsid w:val="0DD622AB"/>
    <w:rsid w:val="11420C62"/>
    <w:rsid w:val="11FF2BD5"/>
    <w:rsid w:val="12105979"/>
    <w:rsid w:val="13223BB5"/>
    <w:rsid w:val="15C42D02"/>
    <w:rsid w:val="1CC21F65"/>
    <w:rsid w:val="1E1E31CB"/>
    <w:rsid w:val="1EA062D6"/>
    <w:rsid w:val="1FE67D19"/>
    <w:rsid w:val="20EE4E81"/>
    <w:rsid w:val="24871182"/>
    <w:rsid w:val="25E8131D"/>
    <w:rsid w:val="25F42947"/>
    <w:rsid w:val="2B797161"/>
    <w:rsid w:val="2C2B5431"/>
    <w:rsid w:val="2D5B3AF4"/>
    <w:rsid w:val="2E3A195C"/>
    <w:rsid w:val="2E5774DB"/>
    <w:rsid w:val="314B0324"/>
    <w:rsid w:val="331E2121"/>
    <w:rsid w:val="337A6C9E"/>
    <w:rsid w:val="369828CF"/>
    <w:rsid w:val="37585548"/>
    <w:rsid w:val="37BE35FD"/>
    <w:rsid w:val="388303A3"/>
    <w:rsid w:val="3F2301EA"/>
    <w:rsid w:val="3F2D1069"/>
    <w:rsid w:val="3FAC4783"/>
    <w:rsid w:val="3FF9598B"/>
    <w:rsid w:val="40714F85"/>
    <w:rsid w:val="409A772E"/>
    <w:rsid w:val="41E55C2A"/>
    <w:rsid w:val="43233E35"/>
    <w:rsid w:val="46041DE2"/>
    <w:rsid w:val="470703F1"/>
    <w:rsid w:val="4769032E"/>
    <w:rsid w:val="482C05F6"/>
    <w:rsid w:val="4A315EB1"/>
    <w:rsid w:val="4B8D35BB"/>
    <w:rsid w:val="4FF53FEB"/>
    <w:rsid w:val="50212524"/>
    <w:rsid w:val="507C59AC"/>
    <w:rsid w:val="51B16C2D"/>
    <w:rsid w:val="55190FCB"/>
    <w:rsid w:val="562A6949"/>
    <w:rsid w:val="59A72F25"/>
    <w:rsid w:val="5ABC3575"/>
    <w:rsid w:val="5AF70A51"/>
    <w:rsid w:val="60CD6D9F"/>
    <w:rsid w:val="61890B12"/>
    <w:rsid w:val="627D235D"/>
    <w:rsid w:val="64D8544F"/>
    <w:rsid w:val="65006CE0"/>
    <w:rsid w:val="68EB0FAF"/>
    <w:rsid w:val="6D0668D1"/>
    <w:rsid w:val="6D8A7502"/>
    <w:rsid w:val="6DE210EC"/>
    <w:rsid w:val="6E004F03"/>
    <w:rsid w:val="6EC151A6"/>
    <w:rsid w:val="6EFD5043"/>
    <w:rsid w:val="6FB93EE9"/>
    <w:rsid w:val="708F60F5"/>
    <w:rsid w:val="71C72AD3"/>
    <w:rsid w:val="74CE23CA"/>
    <w:rsid w:val="754E203F"/>
    <w:rsid w:val="7566729A"/>
    <w:rsid w:val="768F7640"/>
    <w:rsid w:val="777F79AC"/>
    <w:rsid w:val="798464DD"/>
    <w:rsid w:val="79FC3536"/>
    <w:rsid w:val="7A7A445B"/>
    <w:rsid w:val="7E4E0B2A"/>
    <w:rsid w:val="7E5073C7"/>
    <w:rsid w:val="7E7662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rPr>
      <w:rFonts w:ascii="Times New Roman" w:hAnsi="Times New Roman" w:eastAsia="Times New Roman" w:cs="Times New Roman"/>
      <w:sz w:val="24"/>
      <w:szCs w:val="24"/>
      <w:lang w:val="en-GB" w:eastAsia="zh-CN" w:bidi="ar-SA"/>
    </w:rPr>
  </w:style>
  <w:style w:type="paragraph" w:styleId="2">
    <w:name w:val="heading 1"/>
    <w:basedOn w:val="1"/>
    <w:next w:val="1"/>
    <w:qFormat/>
    <w:uiPriority w:val="9"/>
    <w:pPr>
      <w:spacing w:beforeAutospacing="1" w:afterAutospacing="1"/>
      <w:outlineLvl w:val="0"/>
    </w:pPr>
    <w:rPr>
      <w:rFonts w:hint="eastAsia" w:ascii="宋体" w:hAnsi="宋体" w:eastAsia="宋体"/>
      <w:b/>
      <w:bCs/>
      <w:kern w:val="36"/>
      <w:sz w:val="48"/>
      <w:szCs w:val="48"/>
      <w:lang w:val="en-US"/>
    </w:rPr>
  </w:style>
  <w:style w:type="paragraph" w:styleId="3">
    <w:name w:val="heading 2"/>
    <w:basedOn w:val="1"/>
    <w:next w:val="1"/>
    <w:autoRedefine/>
    <w:unhideWhenUsed/>
    <w:qFormat/>
    <w:uiPriority w:val="9"/>
    <w:pPr>
      <w:keepNext/>
      <w:keepLines/>
      <w:numPr>
        <w:ilvl w:val="0"/>
        <w:numId w:val="1"/>
      </w:numPr>
      <w:spacing w:line="560" w:lineRule="exact"/>
      <w:ind w:left="0" w:firstLine="880" w:firstLineChars="200"/>
      <w:outlineLvl w:val="1"/>
    </w:pPr>
    <w:rPr>
      <w:rFonts w:ascii="方正黑体简体" w:hAnsi="方正黑体简体" w:eastAsia="方正黑体简体"/>
      <w:sz w:val="32"/>
      <w:szCs w:val="22"/>
    </w:rPr>
  </w:style>
  <w:style w:type="character" w:default="1" w:styleId="7">
    <w:name w:val="Default Paragraph Font"/>
    <w:semiHidden/>
    <w:unhideWhenUsed/>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4">
    <w:name w:val="footer"/>
    <w:basedOn w:val="1"/>
    <w:autoRedefine/>
    <w:qFormat/>
    <w:uiPriority w:val="0"/>
    <w:pPr>
      <w:widowControl w:val="0"/>
      <w:tabs>
        <w:tab w:val="center" w:pos="4153"/>
        <w:tab w:val="right" w:pos="8306"/>
      </w:tabs>
      <w:snapToGrid w:val="0"/>
    </w:pPr>
    <w:rPr>
      <w:rFonts w:ascii="Calibri" w:hAnsi="Calibri" w:eastAsia="宋体"/>
      <w:kern w:val="2"/>
      <w:sz w:val="18"/>
      <w:szCs w:val="18"/>
      <w:lang w:val="en-US"/>
    </w:rPr>
  </w:style>
  <w:style w:type="paragraph" w:styleId="5">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jc w:val="both"/>
    </w:pPr>
    <w:rPr>
      <w:sz w:val="18"/>
    </w:rPr>
  </w:style>
  <w:style w:type="character" w:styleId="8">
    <w:name w:val="Hyperlink"/>
    <w:basedOn w:val="7"/>
    <w:autoRedefine/>
    <w:unhideWhenUsed/>
    <w:qFormat/>
    <w:uiPriority w:val="99"/>
    <w:rPr>
      <w:color w:val="0000FF"/>
      <w:u w:val="singl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5</Pages>
  <Words>2114</Words>
  <Characters>2178</Characters>
  <Lines>15</Lines>
  <Paragraphs>4</Paragraphs>
  <TotalTime>0</TotalTime>
  <ScaleCrop>false</ScaleCrop>
  <LinksUpToDate>false</LinksUpToDate>
  <CharactersWithSpaces>2180</CharactersWithSpaces>
  <Application>WPS Office_12.1.0.17827_F1E327BC-269C-435d-A152-05C5408002CA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2024-09-24T12:43:00Z</dcterms:created>
  <dc:creator>小凡</dc:creator>
  <cp:lastModifiedBy>金阳</cp:lastModifiedBy>
  <dcterms:modified xsi:type="dcterms:W3CDTF">2024-09-25T09:23:45Z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2052-12.1.0.17827</vt:lpwstr>
  </property>
  <property fmtid="{D5CDD505-2E9C-101B-9397-08002B2CF9AE}" pid="3" name="ICV">
    <vt:lpwstr>E943658B689A4E34929620D998B21664_13</vt:lpwstr>
  </property>
</Properties>
</file>